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87" w:rsidRDefault="007D2987" w:rsidP="007D2987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p w:rsidR="007D2987" w:rsidRPr="00C54307" w:rsidRDefault="007D2987" w:rsidP="007D2987">
      <w:pPr>
        <w:spacing w:line="288" w:lineRule="auto"/>
        <w:jc w:val="both"/>
        <w:rPr>
          <w:b/>
          <w:bCs/>
          <w:kern w:val="32"/>
          <w:sz w:val="32"/>
          <w:szCs w:val="32"/>
        </w:rPr>
      </w:pPr>
    </w:p>
    <w:tbl>
      <w:tblPr>
        <w:tblW w:w="974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2835"/>
        <w:gridCol w:w="284"/>
        <w:gridCol w:w="283"/>
        <w:gridCol w:w="257"/>
        <w:gridCol w:w="168"/>
        <w:gridCol w:w="257"/>
        <w:gridCol w:w="51"/>
      </w:tblGrid>
      <w:tr w:rsidR="007D2987" w:rsidRPr="00C54307" w:rsidTr="00B06FD1">
        <w:trPr>
          <w:gridAfter w:val="2"/>
          <w:wAfter w:w="308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E35382" w:rsidRDefault="00E05115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1D489E" w:rsidRDefault="00E05115" w:rsidP="00F40C7B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сентября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4966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left="-392" w:right="-1" w:firstLine="392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924028" w:rsidRDefault="00551024" w:rsidP="00F40C7B">
            <w:pPr>
              <w:ind w:left="-392" w:right="-1"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E05115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en-US"/>
              </w:rPr>
              <w:t xml:space="preserve"> 14</w:t>
            </w:r>
          </w:p>
        </w:tc>
      </w:tr>
      <w:tr w:rsidR="007D2987" w:rsidRPr="00C54307" w:rsidTr="00B06FD1">
        <w:trPr>
          <w:gridAfter w:val="1"/>
          <w:wAfter w:w="51" w:type="dxa"/>
          <w:trHeight w:hRule="exact" w:val="1061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7611E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vAlign w:val="bottom"/>
          </w:tcPr>
          <w:p w:rsidR="007D2987" w:rsidRPr="00C54307" w:rsidRDefault="007D2987" w:rsidP="00F40C7B">
            <w:pPr>
              <w:spacing w:after="240"/>
              <w:ind w:left="889" w:right="-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540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Председатель</w:t>
            </w: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комиссии:</w:t>
            </w: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16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Члены комиссии:</w:t>
            </w: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Независимые эксперты: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0"/>
                <w:tab w:val="left" w:pos="22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кадров и безопасности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сопровождения проектов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6F354F" w:rsidRDefault="006F354F" w:rsidP="006F354F">
            <w:pPr>
              <w:pStyle w:val="1"/>
              <w:ind w:right="-1"/>
              <w:jc w:val="left"/>
            </w:pPr>
            <w:r>
              <w:t>Консультант     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данных федеральных ресурсов (член профсоюза)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21C8A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аудита информационной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работы с внешними источниками и предоставления информаци</w:t>
            </w:r>
            <w:r w:rsidR="00551024">
              <w:rPr>
                <w:sz w:val="24"/>
                <w:szCs w:val="24"/>
              </w:rPr>
              <w:t>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A96996" w:rsidRP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A96996">
              <w:rPr>
                <w:sz w:val="24"/>
                <w:szCs w:val="24"/>
              </w:rPr>
              <w:t xml:space="preserve">Правовой инспектор труда отдела правовой работы и охраны труда </w:t>
            </w:r>
            <w:r w:rsidRPr="00A96996">
              <w:rPr>
                <w:snapToGrid w:val="0"/>
                <w:spacing w:val="-10"/>
                <w:sz w:val="24"/>
                <w:szCs w:val="24"/>
              </w:rPr>
              <w:t xml:space="preserve">Московского городского комитета Профсоюза </w:t>
            </w:r>
          </w:p>
          <w:p w:rsidR="00A96996" w:rsidRDefault="00A96996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7D2987" w:rsidRPr="00C5430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6768" w:type="dxa"/>
            <w:gridSpan w:val="9"/>
            <w:hideMark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6F354F" w:rsidRDefault="006F354F" w:rsidP="006F354F">
            <w:pPr>
              <w:pStyle w:val="a3"/>
              <w:tabs>
                <w:tab w:val="clear" w:pos="8080"/>
                <w:tab w:val="clear" w:pos="8306"/>
              </w:tabs>
              <w:ind w:left="2667"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7D2987" w:rsidRDefault="007D2987" w:rsidP="00F40C7B">
            <w:pPr>
              <w:pStyle w:val="1"/>
              <w:ind w:right="-1"/>
            </w:pPr>
            <w:r>
              <w:t xml:space="preserve">  </w:t>
            </w:r>
            <w:r w:rsidR="00DA3F12">
              <w:t xml:space="preserve">                               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2987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</w:p>
          <w:p w:rsidR="007D2987" w:rsidRPr="00422766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6768" w:type="dxa"/>
            <w:gridSpan w:val="9"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CB3CDC" w:rsidRPr="006F354F" w:rsidRDefault="00CB3CDC" w:rsidP="00CB3CDC">
      <w:pPr>
        <w:tabs>
          <w:tab w:val="left" w:pos="993"/>
          <w:tab w:val="left" w:pos="1134"/>
        </w:tabs>
        <w:ind w:right="195" w:firstLine="709"/>
        <w:jc w:val="both"/>
        <w:rPr>
          <w:sz w:val="24"/>
          <w:szCs w:val="24"/>
        </w:rPr>
      </w:pPr>
      <w:r w:rsidRPr="006F354F">
        <w:rPr>
          <w:sz w:val="24"/>
          <w:szCs w:val="24"/>
        </w:rPr>
        <w:t xml:space="preserve">1. </w:t>
      </w:r>
      <w:r w:rsidR="007D2987" w:rsidRPr="006F354F">
        <w:rPr>
          <w:sz w:val="24"/>
          <w:szCs w:val="24"/>
        </w:rPr>
        <w:t xml:space="preserve">Рассмотрение </w:t>
      </w:r>
      <w:r w:rsidR="009E33D4" w:rsidRPr="006F354F">
        <w:rPr>
          <w:sz w:val="24"/>
          <w:szCs w:val="24"/>
        </w:rPr>
        <w:t xml:space="preserve">информации </w:t>
      </w:r>
      <w:r w:rsidR="006F354F" w:rsidRPr="006F354F">
        <w:rPr>
          <w:sz w:val="24"/>
          <w:szCs w:val="24"/>
        </w:rPr>
        <w:t xml:space="preserve">Публичного акционерного общества «Сбербанк России» </w:t>
      </w:r>
      <w:r w:rsidR="008B3EFA" w:rsidRPr="006F354F">
        <w:rPr>
          <w:sz w:val="24"/>
          <w:szCs w:val="24"/>
        </w:rPr>
        <w:t>в</w:t>
      </w:r>
      <w:r w:rsidR="007D2987" w:rsidRPr="006F354F">
        <w:rPr>
          <w:sz w:val="24"/>
          <w:szCs w:val="24"/>
        </w:rPr>
        <w:t xml:space="preserve"> отнош</w:t>
      </w:r>
      <w:bookmarkStart w:id="0" w:name="_GoBack"/>
      <w:bookmarkEnd w:id="0"/>
      <w:r w:rsidR="007D2987" w:rsidRPr="006F354F">
        <w:rPr>
          <w:sz w:val="24"/>
          <w:szCs w:val="24"/>
        </w:rPr>
        <w:t>ении бывшего государственного гражданского служащего.</w:t>
      </w:r>
    </w:p>
    <w:p w:rsidR="00CB3CDC" w:rsidRPr="006F354F" w:rsidRDefault="007D2987" w:rsidP="00CB3CDC">
      <w:pPr>
        <w:tabs>
          <w:tab w:val="left" w:pos="993"/>
          <w:tab w:val="left" w:pos="1134"/>
        </w:tabs>
        <w:ind w:right="195" w:firstLine="709"/>
        <w:jc w:val="both"/>
        <w:rPr>
          <w:sz w:val="24"/>
          <w:szCs w:val="24"/>
        </w:rPr>
      </w:pPr>
      <w:r w:rsidRPr="006F354F">
        <w:rPr>
          <w:sz w:val="24"/>
          <w:szCs w:val="24"/>
        </w:rPr>
        <w:t>2.    Постановили:</w:t>
      </w:r>
    </w:p>
    <w:p w:rsidR="00CB3CDC" w:rsidRPr="006F354F" w:rsidRDefault="007D2987" w:rsidP="006F354F">
      <w:pPr>
        <w:tabs>
          <w:tab w:val="left" w:pos="993"/>
          <w:tab w:val="left" w:pos="1134"/>
        </w:tabs>
        <w:ind w:right="195" w:firstLine="709"/>
        <w:jc w:val="both"/>
        <w:rPr>
          <w:sz w:val="24"/>
          <w:szCs w:val="24"/>
        </w:rPr>
      </w:pPr>
      <w:r w:rsidRPr="006F354F">
        <w:rPr>
          <w:sz w:val="24"/>
          <w:szCs w:val="24"/>
        </w:rPr>
        <w:t xml:space="preserve">2.1. Дать согласие бывшему государственному гражданскому служащему на выполнение им должностных обязанностей в качестве </w:t>
      </w:r>
      <w:r w:rsidR="006F354F" w:rsidRPr="006F354F">
        <w:rPr>
          <w:sz w:val="24"/>
          <w:szCs w:val="24"/>
        </w:rPr>
        <w:t>руководителя направления Управления Информационной архитектуры Публичного акционерного общества «Сбербанк России».</w:t>
      </w:r>
    </w:p>
    <w:p w:rsidR="007D2987" w:rsidRPr="006F354F" w:rsidRDefault="007D2987" w:rsidP="00CB3CDC">
      <w:pPr>
        <w:tabs>
          <w:tab w:val="left" w:pos="0"/>
          <w:tab w:val="left" w:pos="993"/>
          <w:tab w:val="left" w:pos="1134"/>
          <w:tab w:val="left" w:pos="4320"/>
        </w:tabs>
        <w:spacing w:before="60"/>
        <w:ind w:right="-1" w:firstLine="709"/>
        <w:jc w:val="both"/>
        <w:rPr>
          <w:sz w:val="24"/>
          <w:szCs w:val="24"/>
        </w:rPr>
      </w:pPr>
    </w:p>
    <w:p w:rsidR="007D2987" w:rsidRPr="00316813" w:rsidRDefault="00F40C7B" w:rsidP="00CB3CDC">
      <w:pPr>
        <w:tabs>
          <w:tab w:val="left" w:pos="993"/>
          <w:tab w:val="left" w:pos="1134"/>
        </w:tabs>
        <w:ind w:right="-1" w:firstLine="709"/>
        <w:jc w:val="both"/>
        <w:rPr>
          <w:sz w:val="26"/>
          <w:szCs w:val="26"/>
        </w:rPr>
      </w:pPr>
      <w:r w:rsidRPr="006F354F">
        <w:rPr>
          <w:sz w:val="24"/>
          <w:szCs w:val="24"/>
        </w:rPr>
        <w:t xml:space="preserve">Особого мнения </w:t>
      </w:r>
      <w:r w:rsidR="00DA3F12" w:rsidRPr="006F354F">
        <w:rPr>
          <w:sz w:val="24"/>
          <w:szCs w:val="24"/>
        </w:rPr>
        <w:t>члены Комиссии</w:t>
      </w:r>
      <w:r w:rsidR="007D2987" w:rsidRPr="006F354F">
        <w:rPr>
          <w:sz w:val="24"/>
          <w:szCs w:val="24"/>
        </w:rPr>
        <w:t xml:space="preserve"> не</w:t>
      </w:r>
      <w:r w:rsidRPr="006F354F">
        <w:rPr>
          <w:sz w:val="24"/>
          <w:szCs w:val="24"/>
        </w:rPr>
        <w:t xml:space="preserve"> высказали</w:t>
      </w:r>
      <w:r w:rsidR="007D2987" w:rsidRPr="00316813">
        <w:rPr>
          <w:sz w:val="26"/>
          <w:szCs w:val="26"/>
        </w:rPr>
        <w:t>.</w:t>
      </w:r>
    </w:p>
    <w:p w:rsidR="007D2987" w:rsidRPr="00316813" w:rsidRDefault="007D2987" w:rsidP="002140F5">
      <w:pPr>
        <w:ind w:right="-1"/>
        <w:rPr>
          <w:sz w:val="26"/>
          <w:szCs w:val="26"/>
        </w:rPr>
      </w:pPr>
    </w:p>
    <w:sectPr w:rsidR="007D2987" w:rsidRPr="00316813" w:rsidSect="00F40C7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895" w:rsidRDefault="000E4895" w:rsidP="004E7B2A">
      <w:r>
        <w:separator/>
      </w:r>
    </w:p>
  </w:endnote>
  <w:endnote w:type="continuationSeparator" w:id="0">
    <w:p w:rsidR="000E4895" w:rsidRDefault="000E4895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895" w:rsidRDefault="000E4895" w:rsidP="004E7B2A">
      <w:r>
        <w:separator/>
      </w:r>
    </w:p>
  </w:footnote>
  <w:footnote w:type="continuationSeparator" w:id="0">
    <w:p w:rsidR="000E4895" w:rsidRDefault="000E4895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54F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9614F"/>
    <w:multiLevelType w:val="hybridMultilevel"/>
    <w:tmpl w:val="0E5C2E94"/>
    <w:lvl w:ilvl="0" w:tplc="814CA2F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0E4895"/>
    <w:rsid w:val="001D4663"/>
    <w:rsid w:val="002140F5"/>
    <w:rsid w:val="00316813"/>
    <w:rsid w:val="004E3490"/>
    <w:rsid w:val="004E7B2A"/>
    <w:rsid w:val="00521C8A"/>
    <w:rsid w:val="00551024"/>
    <w:rsid w:val="005902C5"/>
    <w:rsid w:val="006F354F"/>
    <w:rsid w:val="007D2987"/>
    <w:rsid w:val="00801A4B"/>
    <w:rsid w:val="008B3EFA"/>
    <w:rsid w:val="009B4FAC"/>
    <w:rsid w:val="009E33D4"/>
    <w:rsid w:val="00A047A1"/>
    <w:rsid w:val="00A96996"/>
    <w:rsid w:val="00AC45D9"/>
    <w:rsid w:val="00B30803"/>
    <w:rsid w:val="00C345C0"/>
    <w:rsid w:val="00CB3CDC"/>
    <w:rsid w:val="00D72DA6"/>
    <w:rsid w:val="00DA3F12"/>
    <w:rsid w:val="00DA7E4F"/>
    <w:rsid w:val="00E05115"/>
    <w:rsid w:val="00E3395F"/>
    <w:rsid w:val="00E63EF5"/>
    <w:rsid w:val="00E932C4"/>
    <w:rsid w:val="00EC02C2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2987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E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3EF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63EF5"/>
    <w:pPr>
      <w:tabs>
        <w:tab w:val="left" w:pos="709"/>
      </w:tabs>
      <w:autoSpaceDE w:val="0"/>
      <w:autoSpaceDN w:val="0"/>
      <w:adjustRightInd w:val="0"/>
      <w:ind w:left="142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3EF5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987"/>
    <w:rPr>
      <w:rFonts w:eastAsia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B3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EA14-2355-4C27-B2E5-5B1E3D2A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Пилипенко Виктор Иванович</cp:lastModifiedBy>
  <cp:revision>2</cp:revision>
  <cp:lastPrinted>2018-06-01T10:02:00Z</cp:lastPrinted>
  <dcterms:created xsi:type="dcterms:W3CDTF">2018-09-27T14:50:00Z</dcterms:created>
  <dcterms:modified xsi:type="dcterms:W3CDTF">2018-09-27T14:50:00Z</dcterms:modified>
</cp:coreProperties>
</file>